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各事业部站内材料购置（新能源事业部）</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期：2025年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各事业部站内材料购置（新能源事业部）</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各事业部站内材料购置（新能源事业部）</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身份证正反面复印件：</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各事业部站内材料购置（新能源事业部）</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23"/>
        <w:gridCol w:w="1463"/>
        <w:gridCol w:w="1463"/>
        <w:gridCol w:w="1463"/>
        <w:gridCol w:w="178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23"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63"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63"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8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阀门防护栏</w:t>
            </w:r>
          </w:p>
        </w:tc>
        <w:tc>
          <w:tcPr>
            <w:tcW w:w="1423" w:type="dxa"/>
            <w:noWrap w:val="0"/>
            <w:vAlign w:val="center"/>
          </w:tcPr>
          <w:p w14:paraId="20894FC9">
            <w:pPr>
              <w:jc w:val="both"/>
              <w:rPr>
                <w:rFonts w:hint="default" w:ascii="宋体" w:hAnsi="宋体" w:cs="宋体"/>
                <w:bCs/>
                <w:sz w:val="24"/>
                <w:szCs w:val="24"/>
                <w:lang w:val="en-US" w:eastAsia="zh-CN"/>
              </w:rPr>
            </w:pPr>
          </w:p>
        </w:tc>
        <w:tc>
          <w:tcPr>
            <w:tcW w:w="1463" w:type="dxa"/>
            <w:noWrap w:val="0"/>
            <w:vAlign w:val="center"/>
          </w:tcPr>
          <w:p w14:paraId="0AAA778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3AB66A7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463"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2,000.00</w:t>
            </w:r>
          </w:p>
        </w:tc>
        <w:tc>
          <w:tcPr>
            <w:tcW w:w="1780" w:type="dxa"/>
            <w:noWrap w:val="0"/>
            <w:vAlign w:val="center"/>
          </w:tcPr>
          <w:p w14:paraId="722B665E">
            <w:pPr>
              <w:jc w:val="center"/>
              <w:rPr>
                <w:rFonts w:hint="eastAsia" w:ascii="宋体" w:hAnsi="宋体" w:eastAsia="宋体" w:cs="宋体"/>
                <w:bCs/>
                <w:sz w:val="24"/>
                <w:szCs w:val="24"/>
                <w:lang w:val="en-US" w:eastAsia="zh-CN"/>
              </w:rPr>
            </w:pPr>
          </w:p>
        </w:tc>
      </w:tr>
      <w:tr w14:paraId="32633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9FEF0C0">
            <w:pPr>
              <w:keepNext w:val="0"/>
              <w:keepLines w:val="0"/>
              <w:widowControl/>
              <w:suppressLineNumbers w:val="0"/>
              <w:jc w:val="center"/>
              <w:textAlignment w:val="center"/>
              <w:rPr>
                <w:rFonts w:hint="eastAsia" w:ascii="宋体" w:hAnsi="宋体" w:cs="宋体"/>
                <w:b w:val="0"/>
                <w:bCs w:val="0"/>
                <w:kern w:val="0"/>
                <w:szCs w:val="21"/>
                <w:u w:val="single"/>
                <w:lang w:val="en-US" w:eastAsia="zh-CN"/>
              </w:rPr>
            </w:pPr>
            <w:r>
              <w:rPr>
                <w:rFonts w:hint="eastAsia" w:ascii="宋体" w:hAnsi="宋体" w:eastAsia="宋体" w:cs="宋体"/>
                <w:i w:val="0"/>
                <w:iCs w:val="0"/>
                <w:color w:val="000000"/>
                <w:kern w:val="0"/>
                <w:sz w:val="24"/>
                <w:szCs w:val="24"/>
                <w:u w:val="none"/>
                <w:lang w:val="en-US" w:eastAsia="zh-CN" w:bidi="ar"/>
              </w:rPr>
              <w:t>锅炉燃烧器锅炉阀组防护罩</w:t>
            </w:r>
          </w:p>
        </w:tc>
        <w:tc>
          <w:tcPr>
            <w:tcW w:w="1423" w:type="dxa"/>
            <w:noWrap w:val="0"/>
            <w:vAlign w:val="center"/>
          </w:tcPr>
          <w:p w14:paraId="2297AC4A">
            <w:pPr>
              <w:jc w:val="both"/>
              <w:rPr>
                <w:rFonts w:hint="default" w:ascii="宋体" w:hAnsi="宋体" w:cs="宋体"/>
                <w:bCs/>
                <w:sz w:val="24"/>
                <w:szCs w:val="24"/>
                <w:lang w:val="en-US" w:eastAsia="zh-CN"/>
              </w:rPr>
            </w:pPr>
          </w:p>
        </w:tc>
        <w:tc>
          <w:tcPr>
            <w:tcW w:w="1463" w:type="dxa"/>
            <w:noWrap w:val="0"/>
            <w:vAlign w:val="center"/>
          </w:tcPr>
          <w:p w14:paraId="4AD5EC75">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4B8A0A07">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463" w:type="dxa"/>
            <w:noWrap w:val="0"/>
            <w:vAlign w:val="center"/>
          </w:tcPr>
          <w:p w14:paraId="7AB5023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64，500.00</w:t>
            </w:r>
          </w:p>
        </w:tc>
        <w:tc>
          <w:tcPr>
            <w:tcW w:w="1780" w:type="dxa"/>
            <w:noWrap w:val="0"/>
            <w:vAlign w:val="center"/>
          </w:tcPr>
          <w:p w14:paraId="578FFFD2">
            <w:pPr>
              <w:jc w:val="center"/>
              <w:rPr>
                <w:rFonts w:hint="eastAsia" w:ascii="宋体" w:hAnsi="宋体" w:eastAsia="宋体" w:cs="宋体"/>
                <w:bCs/>
                <w:sz w:val="24"/>
                <w:szCs w:val="24"/>
                <w:lang w:val="en-US" w:eastAsia="zh-CN"/>
              </w:rPr>
            </w:pPr>
          </w:p>
        </w:tc>
      </w:tr>
      <w:tr w14:paraId="6BC7A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69A2096">
            <w:pPr>
              <w:jc w:val="center"/>
              <w:rPr>
                <w:rFonts w:hint="eastAsia" w:ascii="宋体" w:hAnsi="宋体" w:cs="宋体"/>
                <w:b w:val="0"/>
                <w:bCs w:val="0"/>
                <w:kern w:val="0"/>
                <w:szCs w:val="21"/>
                <w:u w:val="single"/>
                <w:lang w:val="en-US" w:eastAsia="zh-CN"/>
              </w:rPr>
            </w:pPr>
            <w:r>
              <w:rPr>
                <w:rFonts w:hint="eastAsia" w:ascii="宋体" w:hAnsi="宋体" w:eastAsia="宋体" w:cs="宋体"/>
                <w:bCs/>
                <w:sz w:val="24"/>
                <w:szCs w:val="24"/>
                <w:lang w:val="en-US" w:eastAsia="zh-CN"/>
              </w:rPr>
              <w:t>--</w:t>
            </w:r>
          </w:p>
        </w:tc>
        <w:tc>
          <w:tcPr>
            <w:tcW w:w="1423" w:type="dxa"/>
            <w:noWrap w:val="0"/>
            <w:vAlign w:val="center"/>
          </w:tcPr>
          <w:p w14:paraId="3308F111">
            <w:pPr>
              <w:jc w:val="both"/>
              <w:rPr>
                <w:rFonts w:hint="default" w:ascii="宋体" w:hAnsi="宋体" w:cs="宋体"/>
                <w:bCs/>
                <w:sz w:val="24"/>
                <w:szCs w:val="24"/>
                <w:lang w:val="en-US" w:eastAsia="zh-CN"/>
              </w:rPr>
            </w:pPr>
          </w:p>
        </w:tc>
        <w:tc>
          <w:tcPr>
            <w:tcW w:w="1463" w:type="dxa"/>
            <w:noWrap w:val="0"/>
            <w:vAlign w:val="center"/>
          </w:tcPr>
          <w:p w14:paraId="4C4831C9">
            <w:pPr>
              <w:ind w:firstLine="480" w:firstLineChars="200"/>
              <w:jc w:val="both"/>
              <w:rPr>
                <w:rFonts w:hint="eastAsia" w:ascii="宋体" w:hAnsi="宋体" w:cs="宋体"/>
                <w:bCs/>
                <w:sz w:val="24"/>
                <w:szCs w:val="24"/>
                <w:lang w:val="en-US" w:eastAsia="zh-CN"/>
              </w:rPr>
            </w:pPr>
          </w:p>
        </w:tc>
        <w:tc>
          <w:tcPr>
            <w:tcW w:w="1463" w:type="dxa"/>
            <w:noWrap w:val="0"/>
            <w:vAlign w:val="center"/>
          </w:tcPr>
          <w:p w14:paraId="79A8B8F7">
            <w:pPr>
              <w:ind w:firstLine="480" w:firstLineChars="200"/>
              <w:jc w:val="both"/>
              <w:rPr>
                <w:rFonts w:hint="eastAsia" w:ascii="宋体" w:hAnsi="宋体" w:cs="宋体"/>
                <w:bCs/>
                <w:sz w:val="24"/>
                <w:szCs w:val="24"/>
                <w:lang w:val="en-US" w:eastAsia="zh-CN"/>
              </w:rPr>
            </w:pPr>
          </w:p>
        </w:tc>
        <w:tc>
          <w:tcPr>
            <w:tcW w:w="1463" w:type="dxa"/>
            <w:noWrap w:val="0"/>
            <w:vAlign w:val="center"/>
          </w:tcPr>
          <w:p w14:paraId="67E2071C">
            <w:pPr>
              <w:jc w:val="center"/>
              <w:rPr>
                <w:rFonts w:hint="eastAsia" w:ascii="宋体" w:hAnsi="宋体" w:eastAsia="宋体" w:cs="宋体"/>
                <w:bCs/>
                <w:sz w:val="24"/>
                <w:szCs w:val="24"/>
                <w:lang w:val="en-US" w:eastAsia="zh-CN"/>
              </w:rPr>
            </w:pPr>
          </w:p>
        </w:tc>
        <w:tc>
          <w:tcPr>
            <w:tcW w:w="1780" w:type="dxa"/>
            <w:noWrap w:val="0"/>
            <w:vAlign w:val="center"/>
          </w:tcPr>
          <w:p w14:paraId="07D082BB">
            <w:pPr>
              <w:jc w:val="center"/>
              <w:rPr>
                <w:rFonts w:hint="eastAsia" w:ascii="宋体" w:hAnsi="宋体" w:eastAsia="宋体" w:cs="宋体"/>
                <w:bCs/>
                <w:sz w:val="24"/>
                <w:szCs w:val="24"/>
                <w:lang w:val="en-US" w:eastAsia="zh-CN"/>
              </w:rPr>
            </w:pPr>
            <w:bookmarkStart w:id="4" w:name="_GoBack"/>
            <w:bookmarkEnd w:id="4"/>
          </w:p>
        </w:tc>
      </w:tr>
      <w:tr w14:paraId="49565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DAA4784">
            <w:pPr>
              <w:jc w:val="center"/>
              <w:rPr>
                <w:rFonts w:hint="eastAsia" w:ascii="宋体" w:hAnsi="宋体" w:cs="宋体"/>
                <w:b w:val="0"/>
                <w:bCs w:val="0"/>
                <w:kern w:val="0"/>
                <w:szCs w:val="21"/>
                <w:u w:val="single"/>
                <w:lang w:val="en-US" w:eastAsia="zh-CN"/>
              </w:rPr>
            </w:pPr>
          </w:p>
        </w:tc>
        <w:tc>
          <w:tcPr>
            <w:tcW w:w="4349" w:type="dxa"/>
            <w:gridSpan w:val="3"/>
            <w:noWrap w:val="0"/>
            <w:vAlign w:val="center"/>
          </w:tcPr>
          <w:p w14:paraId="78888DCE">
            <w:pPr>
              <w:ind w:firstLine="1440" w:firstLineChars="600"/>
              <w:jc w:val="both"/>
              <w:rPr>
                <w:rFonts w:hint="default" w:ascii="宋体" w:hAnsi="宋体" w:cs="宋体"/>
                <w:bCs/>
                <w:sz w:val="24"/>
                <w:szCs w:val="24"/>
                <w:lang w:val="en-US" w:eastAsia="zh-CN"/>
              </w:rPr>
            </w:pPr>
            <w:r>
              <w:rPr>
                <w:rFonts w:hint="eastAsia" w:ascii="宋体" w:hAnsi="宋体" w:cs="宋体"/>
                <w:bCs/>
                <w:sz w:val="24"/>
                <w:szCs w:val="24"/>
                <w:lang w:val="en-US" w:eastAsia="zh-CN"/>
              </w:rPr>
              <w:t>拦标总价合计：</w:t>
            </w:r>
          </w:p>
        </w:tc>
        <w:tc>
          <w:tcPr>
            <w:tcW w:w="1463" w:type="dxa"/>
            <w:noWrap w:val="0"/>
            <w:vAlign w:val="center"/>
          </w:tcPr>
          <w:p w14:paraId="35DFD3FB">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66,500.00</w:t>
            </w:r>
          </w:p>
        </w:tc>
        <w:tc>
          <w:tcPr>
            <w:tcW w:w="1780" w:type="dxa"/>
            <w:noWrap w:val="0"/>
            <w:vAlign w:val="center"/>
          </w:tcPr>
          <w:p w14:paraId="23A58E1F">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lang w:val="en-US" w:eastAsia="zh-CN"/>
              </w:rPr>
              <w:t>报价金额 合计（大写）</w:t>
            </w:r>
          </w:p>
        </w:tc>
        <w:tc>
          <w:tcPr>
            <w:tcW w:w="4349"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463"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报价金额 合计（小写）</w:t>
            </w:r>
          </w:p>
        </w:tc>
        <w:tc>
          <w:tcPr>
            <w:tcW w:w="178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2025年x月x日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00ECCBB1">
      <w:pPr>
        <w:spacing w:before="156" w:beforeLines="50" w:after="156" w:afterLines="50" w:line="0" w:lineRule="atLeast"/>
        <w:ind w:left="1800" w:hanging="1575" w:hangingChars="750"/>
        <w:rPr>
          <w:rFonts w:hint="default"/>
          <w:lang w:val="en-US" w:eastAsia="zh-CN"/>
        </w:rPr>
      </w:pPr>
      <w:r>
        <w:rPr>
          <w:rFonts w:hint="eastAsia"/>
          <w:lang w:val="en-US" w:eastAsia="zh-CN"/>
        </w:rPr>
        <w:t>单项报价和总价报价不允许超拦标价。</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3566F"/>
    <w:rsid w:val="126D6927"/>
    <w:rsid w:val="132D60B6"/>
    <w:rsid w:val="154020D1"/>
    <w:rsid w:val="16360824"/>
    <w:rsid w:val="17C84600"/>
    <w:rsid w:val="17F90C5D"/>
    <w:rsid w:val="18571015"/>
    <w:rsid w:val="185C214A"/>
    <w:rsid w:val="1B443B27"/>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C435154"/>
    <w:rsid w:val="3D0221DE"/>
    <w:rsid w:val="3D8B148B"/>
    <w:rsid w:val="3F302B2D"/>
    <w:rsid w:val="3FDA4D4C"/>
    <w:rsid w:val="402D6E52"/>
    <w:rsid w:val="405C39B3"/>
    <w:rsid w:val="40C73A02"/>
    <w:rsid w:val="42440064"/>
    <w:rsid w:val="427E5D65"/>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966</Words>
  <Characters>997</Characters>
  <Lines>0</Lines>
  <Paragraphs>0</Paragraphs>
  <TotalTime>11</TotalTime>
  <ScaleCrop>false</ScaleCrop>
  <LinksUpToDate>false</LinksUpToDate>
  <CharactersWithSpaces>1300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2025-08-11T08:35:28Z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