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屏蔽泵</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bookmarkStart w:id="4" w:name="_GoBack"/>
      <w:bookmarkEnd w:id="4"/>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屏蔽泵购置项目</w:t>
      </w:r>
    </w:p>
    <w:tbl>
      <w:tblPr>
        <w:tblStyle w:val="8"/>
        <w:tblW w:w="89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4"/>
        <w:gridCol w:w="2100"/>
        <w:gridCol w:w="785"/>
        <w:gridCol w:w="785"/>
        <w:gridCol w:w="1751"/>
        <w:gridCol w:w="2083"/>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1494"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100"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5"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5"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51"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83"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trPr>
        <w:tc>
          <w:tcPr>
            <w:tcW w:w="1494"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屏蔽补水泵</w:t>
            </w:r>
          </w:p>
        </w:tc>
        <w:tc>
          <w:tcPr>
            <w:tcW w:w="2100"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流量10，扬程38，二级或二级以上能效电机，功率不得超过2.2KW</w:t>
            </w:r>
          </w:p>
        </w:tc>
        <w:tc>
          <w:tcPr>
            <w:tcW w:w="785"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785" w:type="dxa"/>
            <w:noWrap w:val="0"/>
            <w:vAlign w:val="center"/>
          </w:tcPr>
          <w:p w14:paraId="00D53C8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51"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15,400.00 </w:t>
            </w:r>
          </w:p>
        </w:tc>
        <w:tc>
          <w:tcPr>
            <w:tcW w:w="2083" w:type="dxa"/>
            <w:noWrap w:val="0"/>
            <w:vAlign w:val="center"/>
          </w:tcPr>
          <w:p w14:paraId="30DD4666">
            <w:pPr>
              <w:jc w:val="center"/>
              <w:rPr>
                <w:rFonts w:hint="eastAsia" w:ascii="宋体" w:hAnsi="宋体" w:eastAsia="宋体" w:cs="宋体"/>
                <w:bCs/>
                <w:sz w:val="24"/>
                <w:szCs w:val="24"/>
                <w:lang w:val="en-US" w:eastAsia="zh-CN"/>
              </w:rPr>
            </w:pPr>
          </w:p>
        </w:tc>
      </w:tr>
      <w:tr w14:paraId="5C203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trPr>
        <w:tc>
          <w:tcPr>
            <w:tcW w:w="1494" w:type="dxa"/>
            <w:noWrap w:val="0"/>
            <w:vAlign w:val="center"/>
          </w:tcPr>
          <w:p w14:paraId="4C038DB5">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屏蔽循环泵</w:t>
            </w:r>
          </w:p>
        </w:tc>
        <w:tc>
          <w:tcPr>
            <w:tcW w:w="2100" w:type="dxa"/>
            <w:noWrap w:val="0"/>
            <w:vAlign w:val="center"/>
          </w:tcPr>
          <w:p w14:paraId="003F440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Q=280m3/h、H=16m、</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Fonts w:hint="eastAsia" w:ascii="宋体" w:hAnsi="宋体" w:eastAsia="宋体" w:cs="宋体"/>
                <w:i w:val="0"/>
                <w:iCs w:val="0"/>
                <w:color w:val="000000"/>
                <w:kern w:val="0"/>
                <w:sz w:val="20"/>
                <w:szCs w:val="20"/>
                <w:u w:val="none"/>
                <w:lang w:val="en-US" w:eastAsia="zh-CN" w:bidi="ar"/>
              </w:rPr>
              <w:t>18.5Kw</w:t>
            </w:r>
          </w:p>
        </w:tc>
        <w:tc>
          <w:tcPr>
            <w:tcW w:w="785" w:type="dxa"/>
            <w:shd w:val="clear" w:color="auto" w:fill="auto"/>
            <w:noWrap w:val="0"/>
            <w:vAlign w:val="center"/>
          </w:tcPr>
          <w:p w14:paraId="78DC089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85" w:type="dxa"/>
            <w:shd w:val="clear" w:color="auto" w:fill="auto"/>
            <w:noWrap w:val="0"/>
            <w:vAlign w:val="center"/>
          </w:tcPr>
          <w:p w14:paraId="389B4728">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51" w:type="dxa"/>
            <w:noWrap w:val="0"/>
            <w:vAlign w:val="center"/>
          </w:tcPr>
          <w:p w14:paraId="7AADAB45">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60,000.00 </w:t>
            </w:r>
          </w:p>
        </w:tc>
        <w:tc>
          <w:tcPr>
            <w:tcW w:w="2083" w:type="dxa"/>
            <w:noWrap w:val="0"/>
            <w:vAlign w:val="center"/>
          </w:tcPr>
          <w:p w14:paraId="18AB47A6">
            <w:pPr>
              <w:jc w:val="center"/>
              <w:rPr>
                <w:rFonts w:hint="eastAsia" w:ascii="宋体" w:hAnsi="宋体" w:eastAsia="宋体" w:cs="宋体"/>
                <w:bCs/>
                <w:sz w:val="24"/>
                <w:szCs w:val="24"/>
                <w:lang w:val="en-US" w:eastAsia="zh-CN"/>
              </w:rPr>
            </w:pPr>
          </w:p>
        </w:tc>
      </w:tr>
      <w:tr w14:paraId="4A296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trPr>
        <w:tc>
          <w:tcPr>
            <w:tcW w:w="1494" w:type="dxa"/>
            <w:noWrap w:val="0"/>
            <w:vAlign w:val="center"/>
          </w:tcPr>
          <w:p w14:paraId="7051539D">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屏蔽循环泵</w:t>
            </w:r>
          </w:p>
        </w:tc>
        <w:tc>
          <w:tcPr>
            <w:tcW w:w="2100" w:type="dxa"/>
            <w:noWrap w:val="0"/>
            <w:vAlign w:val="center"/>
          </w:tcPr>
          <w:p w14:paraId="4A43C659">
            <w:pPr>
              <w:keepNext w:val="0"/>
              <w:keepLines w:val="0"/>
              <w:widowControl/>
              <w:suppressLineNumbers w:val="0"/>
              <w:jc w:val="center"/>
              <w:textAlignment w:val="center"/>
              <w:rPr>
                <w:rFonts w:hint="default" w:ascii="宋体" w:hAnsi="宋体" w:cs="宋体"/>
                <w:bCs/>
                <w:sz w:val="24"/>
                <w:szCs w:val="24"/>
                <w:lang w:val="en-US" w:eastAsia="zh-CN"/>
              </w:rPr>
            </w:pPr>
            <w:r>
              <w:rPr>
                <w:rStyle w:val="11"/>
                <w:lang w:val="en-US" w:eastAsia="zh-CN" w:bidi="ar"/>
              </w:rPr>
              <w:t>Q=200m³/h H=20mH</w:t>
            </w:r>
            <w:r>
              <w:rPr>
                <w:rStyle w:val="12"/>
                <w:rFonts w:eastAsia="宋体"/>
                <w:lang w:val="en-US" w:eastAsia="zh-CN" w:bidi="ar"/>
              </w:rPr>
              <w:t>₂</w:t>
            </w:r>
            <w:r>
              <w:rPr>
                <w:rStyle w:val="11"/>
                <w:lang w:val="en-US" w:eastAsia="zh-CN" w:bidi="ar"/>
              </w:rPr>
              <w:t>0，</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Style w:val="11"/>
                <w:lang w:val="en-US" w:eastAsia="zh-CN" w:bidi="ar"/>
              </w:rPr>
              <w:t>17KW</w:t>
            </w:r>
          </w:p>
        </w:tc>
        <w:tc>
          <w:tcPr>
            <w:tcW w:w="785" w:type="dxa"/>
            <w:shd w:val="clear" w:color="auto" w:fill="auto"/>
            <w:noWrap w:val="0"/>
            <w:vAlign w:val="center"/>
          </w:tcPr>
          <w:p w14:paraId="22CC73E6">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785" w:type="dxa"/>
            <w:shd w:val="clear" w:color="auto" w:fill="auto"/>
            <w:noWrap w:val="0"/>
            <w:vAlign w:val="center"/>
          </w:tcPr>
          <w:p w14:paraId="509A8AA8">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51" w:type="dxa"/>
            <w:noWrap w:val="0"/>
            <w:vAlign w:val="center"/>
          </w:tcPr>
          <w:p w14:paraId="487054F5">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54,000.00 </w:t>
            </w:r>
          </w:p>
        </w:tc>
        <w:tc>
          <w:tcPr>
            <w:tcW w:w="2083" w:type="dxa"/>
            <w:noWrap w:val="0"/>
            <w:vAlign w:val="center"/>
          </w:tcPr>
          <w:p w14:paraId="68299E2C">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trPr>
        <w:tc>
          <w:tcPr>
            <w:tcW w:w="1494"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屏蔽补水泵</w:t>
            </w:r>
          </w:p>
        </w:tc>
        <w:tc>
          <w:tcPr>
            <w:tcW w:w="2100"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Style w:val="11"/>
                <w:lang w:val="en-US" w:eastAsia="zh-CN" w:bidi="ar"/>
              </w:rPr>
              <w:t>Q=3m³/h H=48mH</w:t>
            </w:r>
            <w:r>
              <w:rPr>
                <w:rStyle w:val="12"/>
                <w:rFonts w:eastAsia="宋体"/>
                <w:lang w:val="en-US" w:eastAsia="zh-CN" w:bidi="ar"/>
              </w:rPr>
              <w:t>₂</w:t>
            </w:r>
            <w:r>
              <w:rPr>
                <w:rStyle w:val="11"/>
                <w:lang w:val="en-US" w:eastAsia="zh-CN" w:bidi="ar"/>
              </w:rPr>
              <w:t>0,</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Style w:val="11"/>
                <w:lang w:val="en-US" w:eastAsia="zh-CN" w:bidi="ar"/>
              </w:rPr>
              <w:t>1.1KW</w:t>
            </w:r>
          </w:p>
        </w:tc>
        <w:tc>
          <w:tcPr>
            <w:tcW w:w="785" w:type="dxa"/>
            <w:shd w:val="clear" w:color="auto" w:fill="auto"/>
            <w:noWrap w:val="0"/>
            <w:vAlign w:val="center"/>
          </w:tcPr>
          <w:p w14:paraId="0AAA778D">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85" w:type="dxa"/>
            <w:shd w:val="clear" w:color="auto" w:fill="auto"/>
            <w:noWrap w:val="0"/>
            <w:vAlign w:val="center"/>
          </w:tcPr>
          <w:p w14:paraId="3AB66A74">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751"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15,000.00 </w:t>
            </w:r>
          </w:p>
        </w:tc>
        <w:tc>
          <w:tcPr>
            <w:tcW w:w="2083" w:type="dxa"/>
            <w:noWrap w:val="0"/>
            <w:vAlign w:val="center"/>
          </w:tcPr>
          <w:p w14:paraId="722B665E">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trPr>
        <w:tc>
          <w:tcPr>
            <w:tcW w:w="1494" w:type="dxa"/>
            <w:noWrap w:val="0"/>
            <w:vAlign w:val="center"/>
          </w:tcPr>
          <w:p w14:paraId="02DF944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屏蔽加压泵</w:t>
            </w:r>
          </w:p>
        </w:tc>
        <w:tc>
          <w:tcPr>
            <w:tcW w:w="2100" w:type="dxa"/>
            <w:noWrap w:val="0"/>
            <w:vAlign w:val="center"/>
          </w:tcPr>
          <w:p w14:paraId="64E6ABED">
            <w:pPr>
              <w:keepNext w:val="0"/>
              <w:keepLines w:val="0"/>
              <w:widowControl/>
              <w:suppressLineNumbers w:val="0"/>
              <w:jc w:val="center"/>
              <w:textAlignment w:val="center"/>
              <w:rPr>
                <w:rFonts w:hint="default" w:ascii="宋体" w:hAnsi="宋体" w:cs="宋体"/>
                <w:bCs/>
                <w:sz w:val="24"/>
                <w:szCs w:val="24"/>
                <w:lang w:val="en-US" w:eastAsia="zh-CN"/>
              </w:rPr>
            </w:pPr>
            <w:r>
              <w:rPr>
                <w:rStyle w:val="11"/>
                <w:lang w:val="en-US" w:eastAsia="zh-CN" w:bidi="ar"/>
              </w:rPr>
              <w:t>Q=43.3m³/h H=24mH</w:t>
            </w:r>
            <w:r>
              <w:rPr>
                <w:rStyle w:val="12"/>
                <w:rFonts w:eastAsia="宋体"/>
                <w:lang w:val="en-US" w:eastAsia="zh-CN" w:bidi="ar"/>
              </w:rPr>
              <w:t>₂</w:t>
            </w:r>
            <w:r>
              <w:rPr>
                <w:rStyle w:val="11"/>
                <w:lang w:val="en-US" w:eastAsia="zh-CN" w:bidi="ar"/>
              </w:rPr>
              <w:t>0,</w:t>
            </w:r>
            <w:r>
              <w:rPr>
                <w:rFonts w:hint="eastAsia" w:ascii="宋体" w:hAnsi="宋体" w:eastAsia="宋体" w:cs="宋体"/>
                <w:i w:val="0"/>
                <w:iCs w:val="0"/>
                <w:color w:val="000000"/>
                <w:kern w:val="0"/>
                <w:sz w:val="22"/>
                <w:szCs w:val="22"/>
                <w:u w:val="none"/>
                <w:lang w:val="en-US" w:eastAsia="zh-CN" w:bidi="ar"/>
              </w:rPr>
              <w:t>二级或二级以上能效电机，功率不得超过</w:t>
            </w:r>
            <w:r>
              <w:rPr>
                <w:rStyle w:val="11"/>
                <w:lang w:val="en-US" w:eastAsia="zh-CN" w:bidi="ar"/>
              </w:rPr>
              <w:t>5.5KW</w:t>
            </w:r>
          </w:p>
        </w:tc>
        <w:tc>
          <w:tcPr>
            <w:tcW w:w="785" w:type="dxa"/>
            <w:shd w:val="clear" w:color="auto" w:fill="auto"/>
            <w:noWrap w:val="0"/>
            <w:vAlign w:val="center"/>
          </w:tcPr>
          <w:p w14:paraId="046E9847">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85" w:type="dxa"/>
            <w:noWrap w:val="0"/>
            <w:vAlign w:val="center"/>
          </w:tcPr>
          <w:p w14:paraId="298EB20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51" w:type="dxa"/>
            <w:noWrap w:val="0"/>
            <w:vAlign w:val="center"/>
          </w:tcPr>
          <w:p w14:paraId="2C8966B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22,000.00 </w:t>
            </w:r>
          </w:p>
        </w:tc>
        <w:tc>
          <w:tcPr>
            <w:tcW w:w="2083" w:type="dxa"/>
            <w:noWrap w:val="0"/>
            <w:vAlign w:val="center"/>
          </w:tcPr>
          <w:p w14:paraId="0EF81C9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1494"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70"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51"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166,400.00 </w:t>
            </w:r>
          </w:p>
        </w:tc>
        <w:tc>
          <w:tcPr>
            <w:tcW w:w="2083"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494"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04"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494"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04"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8998" w:type="dxa"/>
            <w:gridSpan w:val="6"/>
            <w:noWrap w:val="0"/>
            <w:vAlign w:val="top"/>
          </w:tcPr>
          <w:p w14:paraId="6889B7F2">
            <w:pPr>
              <w:spacing w:before="156" w:beforeLines="50" w:after="156" w:afterLines="50" w:line="0" w:lineRule="atLeast"/>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5BF49E25">
      <w:pPr>
        <w:spacing w:before="156" w:beforeLines="50" w:after="156" w:afterLines="50" w:line="0" w:lineRule="atLeast"/>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342458A5">
      <w:pPr>
        <w:spacing w:before="156" w:beforeLines="50" w:after="156" w:afterLines="50" w:line="0" w:lineRule="atLeast"/>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99211C8"/>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2F5C7FF7"/>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7215A0"/>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2944DD7"/>
    <w:rsid w:val="62E86CEA"/>
    <w:rsid w:val="659A13C6"/>
    <w:rsid w:val="666A75B3"/>
    <w:rsid w:val="68D755A8"/>
    <w:rsid w:val="68E679A2"/>
    <w:rsid w:val="6C663340"/>
    <w:rsid w:val="6D302371"/>
    <w:rsid w:val="6DE80153"/>
    <w:rsid w:val="6DEA5067"/>
    <w:rsid w:val="6DF2102F"/>
    <w:rsid w:val="6E1D0376"/>
    <w:rsid w:val="6F4638FD"/>
    <w:rsid w:val="701B6B38"/>
    <w:rsid w:val="70457711"/>
    <w:rsid w:val="70C44AD9"/>
    <w:rsid w:val="729A63F0"/>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 w:type="character" w:customStyle="1" w:styleId="11">
    <w:name w:val="font61"/>
    <w:basedOn w:val="9"/>
    <w:qFormat/>
    <w:uiPriority w:val="0"/>
    <w:rPr>
      <w:rFonts w:hint="eastAsia" w:ascii="宋体" w:hAnsi="宋体" w:eastAsia="宋体" w:cs="宋体"/>
      <w:color w:val="000000"/>
      <w:sz w:val="22"/>
      <w:szCs w:val="22"/>
      <w:u w:val="none"/>
    </w:rPr>
  </w:style>
  <w:style w:type="character" w:customStyle="1" w:styleId="12">
    <w:name w:val="font8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1015</Words>
  <Characters>1148</Characters>
  <Lines>0</Lines>
  <Paragraphs>0</Paragraphs>
  <TotalTime>1</TotalTime>
  <ScaleCrop>false</ScaleCrop>
  <LinksUpToDate>false</LinksUpToDate>
  <CharactersWithSpaces>1472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2025-09-08T02:02:56Z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