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065FEE5D">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东岭锅炉房锅炉改造工程</w:t>
      </w:r>
    </w:p>
    <w:p w14:paraId="59960213">
      <w:pPr>
        <w:numPr>
          <w:ilvl w:val="0"/>
          <w:numId w:val="0"/>
        </w:numPr>
        <w:jc w:val="center"/>
        <w:outlineLvl w:val="0"/>
        <w:rPr>
          <w:rFonts w:hint="default"/>
          <w:b/>
          <w:bCs/>
          <w:sz w:val="44"/>
          <w:szCs w:val="44"/>
          <w:lang w:val="en-US" w:eastAsia="zh-CN"/>
        </w:rPr>
      </w:pPr>
      <w:bookmarkStart w:id="4" w:name="_GoBack"/>
      <w:bookmarkEnd w:id="4"/>
      <w:r>
        <w:rPr>
          <w:rFonts w:hint="eastAsia" w:ascii="仿宋" w:hAnsi="仿宋" w:eastAsia="仿宋" w:cs="仿宋"/>
          <w:b/>
          <w:bCs/>
          <w:sz w:val="44"/>
          <w:szCs w:val="44"/>
          <w:u w:val="none"/>
          <w:lang w:val="en-US" w:eastAsia="zh-CN"/>
        </w:rPr>
        <w:t>（WD型电动滚筒购置）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东岭锅炉房锅炉改造工程（WD型电动滚筒购置）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东岭锅炉房锅炉改造工程（WD型电动滚筒购置）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eastAsia"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东岭锅炉房锅炉改造工程（WD型电动滚筒购置）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WD型电动滚筒</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滚筒直径630mm，胶带宽度800mm，胶带速度1.25m/s功率15KW</w:t>
            </w: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40,000.00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132" w:type="dxa"/>
            <w:gridSpan w:val="4"/>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40,000.00 </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此处无需填写</w:t>
            </w:r>
          </w:p>
        </w:tc>
      </w:tr>
      <w:tr w14:paraId="400C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77330324">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647" w:type="dxa"/>
            <w:gridSpan w:val="3"/>
            <w:noWrap w:val="0"/>
            <w:vAlign w:val="center"/>
          </w:tcPr>
          <w:p w14:paraId="76CD0D96">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E86A1C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6486B395">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2025年10月x日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1C80356A">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5876EA"/>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70491C"/>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986</Words>
  <Characters>1030</Characters>
  <Lines>0</Lines>
  <Paragraphs>0</Paragraphs>
  <TotalTime>7</TotalTime>
  <ScaleCrop>false</ScaleCrop>
  <LinksUpToDate>false</LinksUpToDate>
  <CharactersWithSpaces>1326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2025-09-26T03:11:58Z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